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F" w:rsidRPr="009372E3" w:rsidRDefault="00F56CCF" w:rsidP="00F56CCF">
      <w:pPr>
        <w:spacing w:after="0"/>
        <w:ind w:left="-1134" w:firstLine="283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REGULAMIN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1.* Należy wypełnić i złożyć deklarację W PRZYPADKU PRZEWOZU:</w:t>
      </w:r>
    </w:p>
    <w:tbl>
      <w:tblPr>
        <w:tblW w:w="1049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56CCF" w:rsidRPr="009372E3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Pojazdów.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Towarów o wartości ponad 1500 euro lub o wadze ponad 50 kilogramów.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Środków pieniężnych w gotówce i (lub) czeków podróżnych o łącznej równowartość więcej niż 10 000 dolarów.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Napojów alkoholowych (ponad 3 litry) i wyrobów tytoniowych (ponad 200 sztuk).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Środków pieniężnych w postaci rachunków, czeków (czeków bankowych), papierów wartościowych w formie dokumentu.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Broni i amunicji, nabojów gazowych, paralizatorów.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Leków, narkotyków, substancji o silnym działaniu i ich prekursorów 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Wartości kulturowych, publikacji, książek, gazet, zdjęć.</w:t>
            </w:r>
          </w:p>
        </w:tc>
      </w:tr>
      <w:tr w:rsidR="00F56CCF" w:rsidRPr="009372E3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E3">
              <w:rPr>
                <w:rFonts w:ascii="Times New Roman" w:hAnsi="Times New Roman" w:cs="Times New Roman"/>
                <w:sz w:val="28"/>
                <w:szCs w:val="28"/>
              </w:rPr>
              <w:t>Zwierząt</w:t>
            </w:r>
            <w:proofErr w:type="spellEnd"/>
            <w:r w:rsidRPr="0093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CCF" w:rsidRPr="006E3140" w:rsidTr="00B06C9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CCF" w:rsidRPr="009372E3" w:rsidRDefault="00F56CCF" w:rsidP="00B06C9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372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Towarów przewożonych więcej niż 1 raz w ciągu 3 dni kalendarzowych.</w:t>
            </w:r>
          </w:p>
        </w:tc>
      </w:tr>
    </w:tbl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* szczegółowe informacje o trybie wwozu towarów można uzyskać na stoiskach informacyjnych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2. Przepisy dotyczące przekroczenia granicy przez obcokrajowców.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Przekraczając granicę Republiki Białoruś, niezależnie od sposobu przekraczania, należy odbyć kontrolę graniczną i kontrolę celną. Obcokrajowcy i osoby nieposiadające obywatelstwa (dalej – obcokrajowcy) mogą przekraczać granicę państwową Republiki Białoruś, posiadając następujące dokumenty:</w:t>
      </w:r>
    </w:p>
    <w:p w:rsidR="00F56CCF" w:rsidRPr="009372E3" w:rsidRDefault="00F56CCF" w:rsidP="00F56CC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Ważny dokument uprawniający do wyjazdu za granicę (paszport) z wizą do krajów, z którymi Republika Białoruś ma tryb wizowy;</w:t>
      </w:r>
    </w:p>
    <w:p w:rsidR="00F56CCF" w:rsidRPr="009372E3" w:rsidRDefault="00F56CCF" w:rsidP="00F56CC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Dokument uprawniający do powrotu do państwa pochodzenia lub zamieszkania (w przypadku utraty paszportu na terytorium Republiki Białoruś);</w:t>
      </w:r>
    </w:p>
    <w:p w:rsidR="00F56CCF" w:rsidRPr="009372E3" w:rsidRDefault="00F56CCF" w:rsidP="00F56CC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Ważny dokument uprawniający do wyjazdu za granicę oraz dokument uprawniający obcokrajowca do indywidualnego lub grupowego zwiedzania parku „Kanał Augustowski” w razie przekroczenia  granicy państwowej Republiki Białoruś z Rzeczpospolitą Polską w przejściach granicznych    Lesnaja (Rudawka), Bruzgi (Kuźnica Białostocka), z Republiką Litewską w przejściach granicznych Privalka (Švendubrė), Privalka (Raigardas).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3. W RB funkcjonuje elektroniczny system poboru opłat drogowych BelToll.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Opłaty za korzystanie z dróg płatnych są obowiązkowe dla kierujących</w:t>
      </w:r>
    </w:p>
    <w:p w:rsidR="00F56CCF" w:rsidRPr="009372E3" w:rsidRDefault="00F56CCF" w:rsidP="00F56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pojazdami samochodowymi lub zespołami pojazdów o dopuszczalnej masie całkowitej powyżej 3,5 tony;</w:t>
      </w:r>
    </w:p>
    <w:p w:rsidR="00F56CCF" w:rsidRPr="009372E3" w:rsidRDefault="00F56CCF" w:rsidP="00F56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pojazdami samochodowymi o dopuszczalnej masie całkowitej nieprzekraczającej 3,5 tony, zarejestrowane poza obszarem Unii Celnej.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Z opłat są zwolnieni kierujący pojazdami samochodowymi o dopuszczalnej masie całkowitej nieprzekraczającej 3,5 tony, zarejestrowane w państwach Unii Celnej.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4. Na terenie mędzy granicą państwową RB a odpowiednim przejściem granicznym zabrania się:</w:t>
      </w:r>
    </w:p>
    <w:p w:rsidR="00F56CCF" w:rsidRPr="009372E3" w:rsidRDefault="00F56CCF" w:rsidP="00F56CC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postoju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pojazdów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;</w:t>
      </w:r>
    </w:p>
    <w:p w:rsidR="00F56CCF" w:rsidRPr="009372E3" w:rsidRDefault="00F56CCF" w:rsidP="00F56CC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wsiadania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wysiadania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pasażerów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;</w:t>
      </w:r>
    </w:p>
    <w:p w:rsidR="00F56CCF" w:rsidRPr="009372E3" w:rsidRDefault="00F56CCF" w:rsidP="00F56CC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załadunku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rozładunku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pojazdów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;</w:t>
      </w:r>
    </w:p>
    <w:p w:rsidR="00F56CCF" w:rsidRPr="009372E3" w:rsidRDefault="00F56CCF" w:rsidP="00F56CC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przebywania osób fizycznych nieprzekraczających granicę państwową RB.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Nieprzestrzeganie przez obywateli niniejszych zasad jest karane w trybie administracyjnym zgodnie z art. 23.31 Kodeksu wykroczeń administracyjnych RB (kara upomnienia z deportacją lub bez deportacji lub kara grzywny w wysokości do 50 kwot bazowych)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 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5. Obywatelom w przejściach granicznych zabrania się:</w:t>
      </w:r>
    </w:p>
    <w:p w:rsidR="00F56CCF" w:rsidRPr="009372E3" w:rsidRDefault="00F56CCF" w:rsidP="00F56CC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robienia zdjęć i nagrywania wideo;</w:t>
      </w:r>
    </w:p>
    <w:p w:rsidR="00F56CCF" w:rsidRPr="009372E3" w:rsidRDefault="00F56CCF" w:rsidP="00F56CC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rozmów z użyciem telefonii komórkowej;</w:t>
      </w:r>
    </w:p>
    <w:p w:rsidR="00F56CCF" w:rsidRPr="009372E3" w:rsidRDefault="00F56CCF" w:rsidP="00F56CC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pozostawiania środków pieniężnych w dokumentach podawanych do kontroli;</w:t>
      </w:r>
    </w:p>
    <w:p w:rsidR="00F56CCF" w:rsidRPr="009372E3" w:rsidRDefault="00F56CCF" w:rsidP="00F56CC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podjęcia działań mających na celu nakłanianie pracowników organów kontroli państwowej do naruszenia określonego trybu dokonywania kontroli granicznej i innej kontroli, w tym oferowania i (lub)  przekazywania wartości materialnych, oferowania i (lub) udzielania korzyści majątkowych.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6. Zasady pobytu obcokrajowców na terenie RB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Przyjeżdżający do RB obcokrajowcy powinni mieć przy sobie środki pieniężne o równowartości nie mniej niż 2 kwoty bazowe RB na każdy dzień pobytu.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Obcokrajowiec lub osoba nieposiadająca obywatelstwa po przekroczeniu granicy RB powinni w ciągu 5 dni roboczych, nie licząc niedzieli, świąt państwowych i dni świątecznych, zarejestrować się w urzędzie meldunkowym właściwym dla faktycznego miejsca pobytu.</w:t>
      </w:r>
      <w:r w:rsidRPr="009372E3">
        <w:rPr>
          <w:rFonts w:ascii="Times New Roman" w:hAnsi="Times New Roman" w:cs="Times New Roman"/>
          <w:sz w:val="28"/>
          <w:szCs w:val="28"/>
          <w:lang w:val="pl-PL"/>
        </w:rPr>
        <w:br/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Urzędami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meldunkowymi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w RB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:</w:t>
      </w:r>
    </w:p>
    <w:p w:rsidR="00F56CCF" w:rsidRPr="009372E3" w:rsidRDefault="00F56CCF" w:rsidP="00F56C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Ministerstwo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Spraw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Zewnętrznych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;</w:t>
      </w:r>
    </w:p>
    <w:p w:rsidR="00F56CCF" w:rsidRPr="009372E3" w:rsidRDefault="00F56CCF" w:rsidP="00F56C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Urząd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Spraw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Wewnętrznych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;</w:t>
      </w:r>
    </w:p>
    <w:p w:rsidR="00F56CCF" w:rsidRPr="009372E3" w:rsidRDefault="00F56CCF" w:rsidP="00F56C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;</w:t>
      </w:r>
    </w:p>
    <w:p w:rsidR="00F56CCF" w:rsidRPr="009372E3" w:rsidRDefault="00F56CCF" w:rsidP="00F56C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 xml:space="preserve"> Sanatorium i zakład lecznictwa uzdrowiskowego;</w:t>
      </w:r>
    </w:p>
    <w:p w:rsidR="00F56CCF" w:rsidRPr="009372E3" w:rsidRDefault="00F56CCF" w:rsidP="00F56C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2E1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Obiekt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E3">
        <w:rPr>
          <w:rFonts w:ascii="Times New Roman" w:hAnsi="Times New Roman" w:cs="Times New Roman"/>
          <w:sz w:val="28"/>
          <w:szCs w:val="28"/>
        </w:rPr>
        <w:t>agroturystyczny</w:t>
      </w:r>
      <w:proofErr w:type="spellEnd"/>
      <w:r w:rsidRPr="009372E3">
        <w:rPr>
          <w:rFonts w:ascii="Times New Roman" w:hAnsi="Times New Roman" w:cs="Times New Roman"/>
          <w:sz w:val="28"/>
          <w:szCs w:val="28"/>
        </w:rPr>
        <w:t>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lastRenderedPageBreak/>
        <w:t> Niedopełnienie tego obowiązku jest karane w trybie administracyjnym zgodnie z cz. 1 art. 23.55 Kodeksu wykroczeń administracyjnych RB (kara upomnienia lub kara grzywny w wysokości do 50 kwot bazowych lub deportacja).  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7. Kierowca przekraczający granicę powinien pamiętać!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Kierowca pojazdu mechanicznego powinien posiadać oryginał polisy ubezpieczeniowej honorowanej na terytotium RB, będącej dowodem ubezpieczenia od odpowiedzialności cywilnej na terenie państwa będącego członkiem Systemu Zielonej Karty.      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Uczestnictwo w ruchu drogowym w RB pojazdów mechanicznych zarejestrowanych poza jej granicami, bez polisy ubezpieczenia od odpowiedzialności cywilnej właścicieli pojazdów mechanicznych honorowanej na terenie RB, jest karane w trybie administracyjnym zgodnie z cz. 4 art. 18.20 Kodeksu wykroczeń administracyjnych RB w wysokości 20 kwot bazowych (od 01.01.2016 kwota bazowa wynosi 21 BYN).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 </w:t>
      </w:r>
      <w:r w:rsidRPr="009372E3">
        <w:rPr>
          <w:rFonts w:ascii="Times New Roman" w:hAnsi="Times New Roman" w:cs="Times New Roman"/>
          <w:b/>
          <w:sz w:val="28"/>
          <w:szCs w:val="28"/>
          <w:lang w:val="pl-PL"/>
        </w:rPr>
        <w:t>8. Przekraczając granicę państwową RB, obcokrajowiec zobowiązany jest: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Przedstawić ważny dokument upoważniający do wyjazdu za granicę oraz dokument uprawniający obcokrajowca do indywidualnego lub grupowego zwiedzania parku „Kanał Augustowski”, jak również polisę obowiązkowego ubezpieczenia zdrowotnego;</w:t>
      </w:r>
    </w:p>
    <w:p w:rsidR="00F56CCF" w:rsidRPr="009372E3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Otrzymać i wypełnić formularz karty migracyjnej.</w:t>
      </w:r>
    </w:p>
    <w:p w:rsidR="00F56CCF" w:rsidRPr="00322E1F" w:rsidRDefault="00F56CCF" w:rsidP="00F56CC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9372E3">
        <w:rPr>
          <w:rFonts w:ascii="Times New Roman" w:hAnsi="Times New Roman" w:cs="Times New Roman"/>
          <w:sz w:val="28"/>
          <w:szCs w:val="28"/>
          <w:lang w:val="pl-PL"/>
        </w:rPr>
        <w:t>Opuszczając RB, obcokrajowiec, z wyjątkiem tymczasowo lub stale mieszkających na terenie RB, jeśli inaczej nie jest ustalono w aktach ustawodawczych i umowach międzynarodowych RB, powinien oddać część B karty migracyjnej podczas kontroli granicznej w przejściu granic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znym na granicy państwowej RB. </w:t>
      </w: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F56CCF" w:rsidRPr="00322E1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</w:p>
    <w:p w:rsidR="002D7497" w:rsidRPr="00F56CCF" w:rsidRDefault="00F56CCF" w:rsidP="00F56CCF">
      <w:pPr>
        <w:ind w:left="-1134" w:firstLine="283"/>
        <w:rPr>
          <w:rFonts w:ascii="Times New Roman" w:hAnsi="Times New Roman" w:cs="Times New Roman"/>
          <w:sz w:val="28"/>
          <w:szCs w:val="28"/>
          <w:lang w:val="pl-PL"/>
        </w:rPr>
      </w:pPr>
      <w:r w:rsidRPr="00322E1F">
        <w:rPr>
          <w:rFonts w:ascii="Times New Roman" w:hAnsi="Times New Roman" w:cs="Times New Roman"/>
          <w:sz w:val="28"/>
          <w:szCs w:val="28"/>
          <w:lang w:val="pl-PL"/>
        </w:rPr>
        <w:t>Czytałem</w:t>
      </w:r>
      <w:r w:rsidRPr="0003051D">
        <w:rPr>
          <w:lang w:val="pl-PL"/>
        </w:rPr>
        <w:t xml:space="preserve">  </w:t>
      </w:r>
      <w:r w:rsidRPr="00322E1F">
        <w:rPr>
          <w:rFonts w:ascii="Times New Roman" w:hAnsi="Times New Roman" w:cs="Times New Roman"/>
          <w:sz w:val="28"/>
          <w:szCs w:val="28"/>
          <w:lang w:val="pl-PL"/>
        </w:rPr>
        <w:t xml:space="preserve">regulamin i </w:t>
      </w:r>
      <w:r w:rsidRPr="0003051D">
        <w:rPr>
          <w:rFonts w:ascii="Times New Roman" w:hAnsi="Times New Roman" w:cs="Times New Roman"/>
          <w:sz w:val="28"/>
          <w:szCs w:val="28"/>
          <w:lang w:val="pl-PL"/>
        </w:rPr>
        <w:t>zgadzam się _________________________</w:t>
      </w:r>
      <w:r>
        <w:rPr>
          <w:rFonts w:ascii="Times New Roman" w:hAnsi="Times New Roman" w:cs="Times New Roman"/>
          <w:sz w:val="28"/>
          <w:szCs w:val="28"/>
          <w:lang w:val="pl-PL"/>
        </w:rPr>
        <w:t>____________</w:t>
      </w:r>
      <w:r w:rsidRPr="0003051D">
        <w:rPr>
          <w:rFonts w:ascii="Times New Roman" w:hAnsi="Times New Roman" w:cs="Times New Roman"/>
          <w:sz w:val="28"/>
          <w:szCs w:val="28"/>
          <w:lang w:val="pl-PL"/>
        </w:rPr>
        <w:t>(podpis)</w:t>
      </w:r>
      <w:bookmarkStart w:id="0" w:name="_GoBack"/>
      <w:bookmarkEnd w:id="0"/>
    </w:p>
    <w:sectPr w:rsidR="002D7497" w:rsidRPr="00F5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2CE"/>
    <w:multiLevelType w:val="multilevel"/>
    <w:tmpl w:val="291456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0DEC"/>
    <w:multiLevelType w:val="hybridMultilevel"/>
    <w:tmpl w:val="8C4480E6"/>
    <w:lvl w:ilvl="0" w:tplc="06D09C66">
      <w:start w:val="1"/>
      <w:numFmt w:val="bullet"/>
      <w:lvlText w:val="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3F3D3531"/>
    <w:multiLevelType w:val="multilevel"/>
    <w:tmpl w:val="8ED4DD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14E81"/>
    <w:multiLevelType w:val="multilevel"/>
    <w:tmpl w:val="C4D25F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E72B7"/>
    <w:multiLevelType w:val="multilevel"/>
    <w:tmpl w:val="619E4E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A07AF"/>
    <w:multiLevelType w:val="hybridMultilevel"/>
    <w:tmpl w:val="D6DC75F4"/>
    <w:lvl w:ilvl="0" w:tplc="06D09C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64"/>
    <w:rsid w:val="00160064"/>
    <w:rsid w:val="002D7497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2016-11-10T08:57:00Z</dcterms:created>
  <dcterms:modified xsi:type="dcterms:W3CDTF">2016-11-10T08:57:00Z</dcterms:modified>
</cp:coreProperties>
</file>